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48" w:rsidRPr="00B41248" w:rsidRDefault="00B41248" w:rsidP="00B41248">
      <w:pPr>
        <w:spacing w:line="560" w:lineRule="exact"/>
        <w:jc w:val="left"/>
        <w:rPr>
          <w:rFonts w:ascii="仿宋_GB2312" w:eastAsia="仿宋_GB2312" w:hAnsi="宋体" w:cs="宋体" w:hint="eastAsia"/>
          <w:bCs/>
          <w:sz w:val="32"/>
          <w:szCs w:val="32"/>
        </w:rPr>
      </w:pPr>
      <w:r w:rsidRPr="00B41248">
        <w:rPr>
          <w:rFonts w:ascii="仿宋_GB2312" w:eastAsia="仿宋_GB2312" w:hAnsi="宋体" w:cs="宋体" w:hint="eastAsia"/>
          <w:bCs/>
          <w:sz w:val="32"/>
          <w:szCs w:val="32"/>
        </w:rPr>
        <w:t>附件2：</w:t>
      </w:r>
    </w:p>
    <w:p w:rsidR="00B41248" w:rsidRDefault="00B41248" w:rsidP="00B41248">
      <w:pPr>
        <w:spacing w:line="5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sz w:val="36"/>
          <w:szCs w:val="36"/>
        </w:rPr>
        <w:t>中山大学新华学院辅导员工作室建设标准</w:t>
      </w:r>
    </w:p>
    <w:bookmarkEnd w:id="0"/>
    <w:p w:rsidR="00B41248" w:rsidRDefault="00B41248" w:rsidP="00B41248">
      <w:pPr>
        <w:spacing w:line="560" w:lineRule="exact"/>
        <w:jc w:val="center"/>
        <w:rPr>
          <w:rFonts w:ascii="楷体_GB2312" w:eastAsia="楷体_GB2312" w:hAnsi="宋体" w:cs="宋体"/>
          <w:bCs/>
          <w:sz w:val="30"/>
          <w:szCs w:val="30"/>
        </w:rPr>
      </w:pP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11829"/>
        <w:gridCol w:w="1134"/>
      </w:tblGrid>
      <w:tr w:rsidR="00B41248" w:rsidTr="00F92B81">
        <w:trPr>
          <w:cantSplit/>
          <w:trHeight w:val="704"/>
          <w:jc w:val="center"/>
        </w:trPr>
        <w:tc>
          <w:tcPr>
            <w:tcW w:w="2150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一级指标</w:t>
            </w: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二级指标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分值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 w:val="restart"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/>
                <w:b/>
                <w:sz w:val="28"/>
              </w:rPr>
              <w:t>基本原则</w:t>
            </w:r>
          </w:p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（100分）</w:t>
            </w: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1.立德树人：政治方向正确，价值导向合理，致力于提升大学生德、智、体、美、雅等素养。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numPr>
                <w:ilvl w:val="0"/>
                <w:numId w:val="1"/>
              </w:numPr>
              <w:adjustRightInd w:val="0"/>
              <w:snapToGrid w:val="0"/>
              <w:jc w:val="center"/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2.解决问题：以问题为导向，立足于在校生教育管理、成长成才以及辅导员素养提升等实际问题进行重点攻关。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 w:val="restart"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主要任务</w:t>
            </w:r>
          </w:p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（100分）</w:t>
            </w: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1.落实工作规划：根据工作室申报书设计的工作规划开展工作，确立工作目标，突出工作重点，明确问题导向，兑现各项承诺。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2.网络思想政治教育：通过新媒体平台定期推送思想政治教育成效、工作经验总结以及文化宣传等文章和微视频，推送文章每月不少于一篇；微视频每月不少于一部，时长1</w:t>
            </w:r>
            <w:r>
              <w:rPr>
                <w:rFonts w:ascii="仿宋_GB2312" w:eastAsia="仿宋_GB2312"/>
                <w:sz w:val="24"/>
              </w:rPr>
              <w:t>-3</w:t>
            </w:r>
            <w:r>
              <w:rPr>
                <w:rFonts w:ascii="仿宋_GB2312" w:eastAsia="仿宋_GB2312" w:hint="eastAsia"/>
                <w:sz w:val="24"/>
              </w:rPr>
              <w:t>分钟，内容多样，形式活泼（20）。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3.培训研修：定期组织工作室成员参加理论研修活动、实践研修活动、学术研讨会以及工作研讨会等。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4.协同发展：协同本校组织辅导员素质能力大赛活动，如辅导员年度人物评选、辅导员素质能力大赛、培训研修、研讨会（行动学习营）以及文化传播活动等。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5.理论研究：组织工作室成员加强理论学习，申报各类科研课题，并进行学术研究，发表科研成果。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6.素养提升。制定并落实提升工作室团队成员工作素养方案。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 w:val="restart"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br w:type="page"/>
            </w:r>
            <w:r>
              <w:rPr>
                <w:rFonts w:ascii="黑体" w:eastAsia="黑体" w:hAnsi="黑体" w:hint="eastAsia"/>
                <w:b/>
                <w:sz w:val="28"/>
              </w:rPr>
              <w:t>机构建设</w:t>
            </w:r>
          </w:p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（100分）</w:t>
            </w: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1.团队组建。根据工作室建设需要招纳团队成员，团队成员不多于4人，其中院系外成员不少于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人，各工作室成员不可相互重叠。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2.师资库建设。确定工作室指导教师，根据实践工作、理论学习、学术研究等工作需要，聘任学工及思想政治教育相关部门负责人、专家学者以及资深优秀辅导员担任指导教师。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9" w:type="dxa"/>
            <w:tcBorders>
              <w:bottom w:val="single" w:sz="4" w:space="0" w:color="auto"/>
            </w:tcBorders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sz w:val="24"/>
              </w:rPr>
              <w:t>3.制度建设。明确工作室运行与管理制度，明确工作思路，设定工作目标，规划工作方案，明确成员分工。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9" w:type="dxa"/>
            <w:tcBorders>
              <w:bottom w:val="single" w:sz="4" w:space="0" w:color="auto"/>
            </w:tcBorders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4.新媒体平台建设。通过微信公众号、易班等新媒体平台完善工作机制，升级工作技术，提高工作成效。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 w:val="restart"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 w:val="28"/>
              </w:rPr>
              <w:t>建设成果</w:t>
            </w:r>
          </w:p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（200分）</w:t>
            </w: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1.学生工作成果：为学生成长成才提供服务，传道授业解惑，解决学生工作中存在的各种实际问题，广大学生有获得感。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2.团队成果：工作室成员在学生工作、思想政治教育、素质能力大赛、年度人物评选、课题申报、学术研究成果发布等方面取得标志性成果，具有良好示范作用。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 w:rsidR="00B41248" w:rsidTr="00F92B81">
        <w:trPr>
          <w:cantSplit/>
          <w:jc w:val="center"/>
        </w:trPr>
        <w:tc>
          <w:tcPr>
            <w:tcW w:w="2150" w:type="dxa"/>
            <w:vMerge/>
            <w:vAlign w:val="center"/>
          </w:tcPr>
          <w:p w:rsidR="00B41248" w:rsidRDefault="00B41248" w:rsidP="00F92B81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9" w:type="dxa"/>
            <w:vAlign w:val="center"/>
          </w:tcPr>
          <w:p w:rsidR="00B41248" w:rsidRDefault="00B41248" w:rsidP="00F92B8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3.工作模式创制：在实践工作基础上进行理论升华，凝练经验，创制出可推广共享、可复制操作的学生工作模式。</w:t>
            </w:r>
          </w:p>
        </w:tc>
        <w:tc>
          <w:tcPr>
            <w:tcW w:w="1134" w:type="dxa"/>
            <w:vAlign w:val="center"/>
          </w:tcPr>
          <w:p w:rsidR="00B41248" w:rsidRDefault="00B41248" w:rsidP="00F92B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</w:tr>
    </w:tbl>
    <w:p w:rsidR="00B41248" w:rsidRDefault="00B41248" w:rsidP="00B41248">
      <w:pPr>
        <w:rPr>
          <w:b/>
          <w:sz w:val="24"/>
        </w:rPr>
      </w:pPr>
    </w:p>
    <w:p w:rsidR="00B41248" w:rsidRDefault="00B41248" w:rsidP="00B41248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 w:rsidR="00B41248" w:rsidRDefault="00B41248" w:rsidP="00B41248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1.单项得分： 60分以下则为不合格（第四项为120分），6</w:t>
      </w:r>
      <w:r>
        <w:rPr>
          <w:b/>
          <w:sz w:val="24"/>
        </w:rPr>
        <w:t>0</w:t>
      </w:r>
      <w:r>
        <w:rPr>
          <w:rFonts w:hint="eastAsia"/>
          <w:b/>
          <w:sz w:val="24"/>
        </w:rPr>
        <w:t>分-70分为基本合格（第四项为12</w:t>
      </w:r>
      <w:r>
        <w:rPr>
          <w:b/>
          <w:sz w:val="24"/>
        </w:rPr>
        <w:t>0</w:t>
      </w:r>
      <w:r>
        <w:rPr>
          <w:rFonts w:hint="eastAsia"/>
          <w:b/>
          <w:sz w:val="24"/>
        </w:rPr>
        <w:t>分-140分）；7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分-85分为良好（第四项为14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-170分）；85分及以上为优秀（第四项为170分以上）。</w:t>
      </w:r>
    </w:p>
    <w:p w:rsidR="00B41248" w:rsidRDefault="00B41248" w:rsidP="00B41248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2.总计得分：总分500分，260分以下为不合格，26</w:t>
      </w:r>
      <w:r>
        <w:rPr>
          <w:b/>
          <w:sz w:val="24"/>
        </w:rPr>
        <w:t>0</w:t>
      </w:r>
      <w:r>
        <w:rPr>
          <w:rFonts w:hint="eastAsia"/>
          <w:b/>
          <w:sz w:val="24"/>
        </w:rPr>
        <w:t>分-320分为基本合格；32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分-410分为良好；410分以上为优秀；</w:t>
      </w:r>
    </w:p>
    <w:p w:rsidR="00B41248" w:rsidRDefault="00B41248" w:rsidP="00B41248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3以得分作为工作室建设水平排名依据，定期发布。每年依据考核结果，评选年度优秀团队和先进个人。</w:t>
      </w:r>
    </w:p>
    <w:p w:rsidR="00B41248" w:rsidRDefault="00B41248" w:rsidP="00B41248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4.中期考核不合格将撤销工作室建设立项。不合格标准：（1）总分不合格；（2）总分合格但是有两个或两个以上单项得分不合格。</w:t>
      </w:r>
    </w:p>
    <w:p w:rsidR="00B41248" w:rsidRDefault="00B41248" w:rsidP="00B41248">
      <w:pPr>
        <w:spacing w:line="560" w:lineRule="exact"/>
        <w:rPr>
          <w:sz w:val="28"/>
          <w:szCs w:val="28"/>
        </w:rPr>
      </w:pPr>
    </w:p>
    <w:p w:rsidR="006009E3" w:rsidRPr="00B41248" w:rsidRDefault="006009E3"/>
    <w:sectPr w:rsidR="006009E3" w:rsidRPr="00B41248" w:rsidSect="00B412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334B3"/>
    <w:multiLevelType w:val="multilevel"/>
    <w:tmpl w:val="734334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8"/>
    <w:rsid w:val="006009E3"/>
    <w:rsid w:val="00B4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00EF"/>
  <w15:chartTrackingRefBased/>
  <w15:docId w15:val="{DF5AE17B-C992-4102-891C-24B5821C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2019-03-01T03:41:00Z</dcterms:created>
  <dcterms:modified xsi:type="dcterms:W3CDTF">2019-03-01T03:42:00Z</dcterms:modified>
</cp:coreProperties>
</file>